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6AF61" w14:textId="77777777" w:rsidR="00582F49" w:rsidRDefault="00582F49" w:rsidP="007B2381">
      <w:pPr>
        <w:pStyle w:val="NormalWeb"/>
        <w:spacing w:before="0" w:beforeAutospacing="0" w:after="0" w:afterAutospacing="0"/>
        <w:jc w:val="center"/>
        <w:rPr>
          <w:b/>
        </w:rPr>
      </w:pPr>
      <w:r>
        <w:rPr>
          <w:b/>
        </w:rPr>
        <w:t>Fusion Analytics</w:t>
      </w:r>
    </w:p>
    <w:p w14:paraId="14F6AF68" w14:textId="77777777" w:rsidR="007B2381" w:rsidRDefault="007B2381" w:rsidP="007B2381">
      <w:pPr>
        <w:pStyle w:val="NormalWeb"/>
        <w:spacing w:before="0" w:beforeAutospacing="0" w:after="0" w:afterAutospacing="0"/>
        <w:rPr>
          <w:b/>
        </w:rPr>
      </w:pPr>
    </w:p>
    <w:p w14:paraId="14F6AF69" w14:textId="77777777" w:rsidR="00F77023" w:rsidRDefault="00F77023" w:rsidP="00F77023">
      <w:pPr>
        <w:pStyle w:val="NormalWeb"/>
        <w:spacing w:before="0" w:beforeAutospacing="0" w:after="0" w:afterAutospacing="0"/>
      </w:pPr>
      <w:r w:rsidRPr="00D86387">
        <w:t xml:space="preserve">Fusion Analytics is a web-based data analysis and visualization tool that integrates multiple real-time, event-related data sources to support decision making during emergency responses. </w:t>
      </w:r>
      <w:r w:rsidRPr="00D50EC1">
        <w:t xml:space="preserve">Fusion Analytics </w:t>
      </w:r>
      <w:r>
        <w:t>runs 24/7 and can be</w:t>
      </w:r>
      <w:r w:rsidRPr="00D50EC1">
        <w:t xml:space="preserve"> access</w:t>
      </w:r>
      <w:r>
        <w:t>ed</w:t>
      </w:r>
      <w:r w:rsidRPr="00D50EC1">
        <w:t xml:space="preserve"> on the HHS ne</w:t>
      </w:r>
      <w:r>
        <w:t xml:space="preserve">twork, at home, or in the field as long as you have an “HHS.gov” email address. To request an account, please contact: </w:t>
      </w:r>
      <w:hyperlink r:id="rId9" w:history="1">
        <w:r w:rsidRPr="009154EA">
          <w:rPr>
            <w:rStyle w:val="Hyperlink"/>
          </w:rPr>
          <w:t>fusion@hhs.gov</w:t>
        </w:r>
      </w:hyperlink>
      <w:r>
        <w:t>.</w:t>
      </w:r>
    </w:p>
    <w:p w14:paraId="14F6AF6A" w14:textId="77777777" w:rsidR="007B2381" w:rsidRPr="00D86387" w:rsidRDefault="007B2381" w:rsidP="007B2381">
      <w:pPr>
        <w:pStyle w:val="NormalWeb"/>
        <w:spacing w:before="0" w:beforeAutospacing="0" w:after="0" w:afterAutospacing="0"/>
      </w:pPr>
    </w:p>
    <w:p w14:paraId="14F6AF6B" w14:textId="77777777" w:rsidR="00D50EC1" w:rsidRDefault="007B2381" w:rsidP="007B2381">
      <w:pPr>
        <w:spacing w:after="0"/>
        <w:rPr>
          <w:rFonts w:ascii="Cambria" w:hAnsi="Cambria"/>
        </w:rPr>
      </w:pPr>
      <w:r w:rsidRPr="007B2381">
        <w:rPr>
          <w:rFonts w:ascii="Cambria" w:hAnsi="Cambria"/>
        </w:rPr>
        <w:t xml:space="preserve">As soon as you log </w:t>
      </w:r>
      <w:r>
        <w:rPr>
          <w:rFonts w:ascii="Cambria" w:hAnsi="Cambria"/>
        </w:rPr>
        <w:t>in to Fusion Analytics</w:t>
      </w:r>
      <w:r w:rsidRPr="007B2381">
        <w:rPr>
          <w:rFonts w:ascii="Cambria" w:hAnsi="Cambria"/>
        </w:rPr>
        <w:t>, you will see several tabs. These will vary from account to account depending on your role in the EMG. Click on the tab that you are interested in. Each tab will include instructions on how to view the reports.</w:t>
      </w:r>
      <w:r w:rsidR="00D50EC1">
        <w:rPr>
          <w:rFonts w:ascii="Cambria" w:hAnsi="Cambria"/>
        </w:rPr>
        <w:t> </w:t>
      </w:r>
      <w:r>
        <w:rPr>
          <w:rFonts w:ascii="Cambria" w:hAnsi="Cambria"/>
        </w:rPr>
        <w:t xml:space="preserve"> Below are brief descriptions of some commonly accessible tabs: </w:t>
      </w:r>
    </w:p>
    <w:p w14:paraId="14F6AF6C" w14:textId="77777777" w:rsidR="007B2381" w:rsidRDefault="007B2381" w:rsidP="007B2381">
      <w:pPr>
        <w:spacing w:after="0"/>
      </w:pPr>
    </w:p>
    <w:p w14:paraId="14F6AF6D" w14:textId="1179B416" w:rsidR="00D50EC1" w:rsidRDefault="00D50EC1" w:rsidP="007B2381">
      <w:pPr>
        <w:spacing w:after="0"/>
      </w:pPr>
      <w:r>
        <w:rPr>
          <w:rFonts w:ascii="Cambria" w:hAnsi="Cambria"/>
          <w:b/>
          <w:bCs/>
        </w:rPr>
        <w:t>S</w:t>
      </w:r>
      <w:r w:rsidR="007461C6">
        <w:rPr>
          <w:rFonts w:ascii="Cambria" w:hAnsi="Cambria"/>
          <w:b/>
          <w:bCs/>
        </w:rPr>
        <w:t xml:space="preserve">ituational </w:t>
      </w:r>
      <w:r>
        <w:rPr>
          <w:rFonts w:ascii="Cambria" w:hAnsi="Cambria"/>
          <w:b/>
          <w:bCs/>
        </w:rPr>
        <w:t>A</w:t>
      </w:r>
      <w:r w:rsidR="007461C6">
        <w:rPr>
          <w:rFonts w:ascii="Cambria" w:hAnsi="Cambria"/>
          <w:b/>
          <w:bCs/>
        </w:rPr>
        <w:t>wareness (SA)</w:t>
      </w:r>
      <w:r>
        <w:rPr>
          <w:rFonts w:ascii="Cambria" w:hAnsi="Cambria"/>
          <w:b/>
          <w:bCs/>
        </w:rPr>
        <w:t xml:space="preserve"> Dashboard</w:t>
      </w:r>
      <w:r w:rsidR="007461C6">
        <w:rPr>
          <w:rFonts w:ascii="Cambria" w:hAnsi="Cambria"/>
          <w:b/>
          <w:bCs/>
        </w:rPr>
        <w:t xml:space="preserve"> </w:t>
      </w:r>
    </w:p>
    <w:p w14:paraId="14F6AF6E" w14:textId="77777777" w:rsidR="00D50EC1" w:rsidRDefault="00D50EC1" w:rsidP="007B2381">
      <w:pPr>
        <w:spacing w:after="0"/>
        <w:rPr>
          <w:rFonts w:ascii="Cambria" w:hAnsi="Cambria"/>
        </w:rPr>
      </w:pPr>
      <w:r>
        <w:rPr>
          <w:rFonts w:ascii="Cambria" w:hAnsi="Cambria"/>
        </w:rPr>
        <w:t xml:space="preserve">A multisource dashboard that provides a one-stop overview of response data in near real-time.  Displayed information includes current day and overall frequencies of patient encounters, time trend analysis of patient acuity, disposition of deployed personnel, the top five observed diagnoses for the current day, and frequency tables of available beds and logistics equipment (such as caches). </w:t>
      </w:r>
    </w:p>
    <w:p w14:paraId="14F6AF6F" w14:textId="77777777" w:rsidR="007B2381" w:rsidRDefault="007B2381" w:rsidP="007B2381">
      <w:pPr>
        <w:spacing w:after="0"/>
        <w:ind w:left="720"/>
      </w:pPr>
    </w:p>
    <w:p w14:paraId="14F6AF72" w14:textId="3A8095E1" w:rsidR="00D50EC1" w:rsidRDefault="00D50EC1" w:rsidP="007B2381">
      <w:pPr>
        <w:spacing w:after="0"/>
      </w:pPr>
      <w:r>
        <w:rPr>
          <w:rFonts w:ascii="Cambria" w:hAnsi="Cambria"/>
          <w:b/>
          <w:bCs/>
        </w:rPr>
        <w:t>E</w:t>
      </w:r>
      <w:r w:rsidR="007461C6">
        <w:rPr>
          <w:rFonts w:ascii="Cambria" w:hAnsi="Cambria"/>
          <w:b/>
          <w:bCs/>
        </w:rPr>
        <w:t>letronic Medical Record (E</w:t>
      </w:r>
      <w:r>
        <w:rPr>
          <w:rFonts w:ascii="Cambria" w:hAnsi="Cambria"/>
          <w:b/>
          <w:bCs/>
        </w:rPr>
        <w:t>MR</w:t>
      </w:r>
      <w:r w:rsidR="007461C6">
        <w:rPr>
          <w:rFonts w:ascii="Cambria" w:hAnsi="Cambria"/>
          <w:b/>
          <w:bCs/>
        </w:rPr>
        <w:t>)</w:t>
      </w:r>
    </w:p>
    <w:p w14:paraId="14F6AF73" w14:textId="77777777" w:rsidR="00D50EC1" w:rsidRDefault="00D50EC1" w:rsidP="007B2381">
      <w:pPr>
        <w:spacing w:after="0"/>
      </w:pPr>
      <w:r>
        <w:rPr>
          <w:rFonts w:ascii="Cambria" w:hAnsi="Cambria"/>
        </w:rPr>
        <w:t xml:space="preserve">Allows users to explore the patient encounter records in the Electronic Medical Record repository for a deployment of interest. The patient encounter records are analyzed by age, incoming acuity, diagnosis category, and location. Patient encounter records from deployments as early as 2007 can be explored in these EMR Explorer reports. </w:t>
      </w:r>
    </w:p>
    <w:p w14:paraId="14F6AF74" w14:textId="77777777" w:rsidR="00D50EC1" w:rsidRDefault="00D50EC1" w:rsidP="007B2381">
      <w:pPr>
        <w:spacing w:after="0"/>
      </w:pPr>
      <w:r>
        <w:rPr>
          <w:rFonts w:ascii="Cambria" w:hAnsi="Cambria"/>
        </w:rPr>
        <w:t> </w:t>
      </w:r>
    </w:p>
    <w:p w14:paraId="14F6AF75" w14:textId="77777777" w:rsidR="00D50EC1" w:rsidRDefault="00D50EC1" w:rsidP="007B2381">
      <w:pPr>
        <w:spacing w:after="0"/>
      </w:pPr>
      <w:r>
        <w:rPr>
          <w:rFonts w:ascii="Cambria" w:hAnsi="Cambria"/>
          <w:b/>
          <w:bCs/>
        </w:rPr>
        <w:t>Team Readiness</w:t>
      </w:r>
    </w:p>
    <w:p w14:paraId="14F6AF76" w14:textId="77777777" w:rsidR="00D50EC1" w:rsidRDefault="00D50EC1" w:rsidP="007B2381">
      <w:pPr>
        <w:spacing w:after="0"/>
      </w:pPr>
      <w:r>
        <w:rPr>
          <w:rFonts w:ascii="Cambria" w:hAnsi="Cambria"/>
        </w:rPr>
        <w:t>Provides a snapshot of the team status of on-call DMAT, NVRT, IRCT, and other team rosters for the current and upcoming month. This dashboard also allows you to click on the DMAT rosters to discover detailed information on the unfilled deployment roles.</w:t>
      </w:r>
    </w:p>
    <w:p w14:paraId="14F6AF77" w14:textId="77777777" w:rsidR="00D50EC1" w:rsidRDefault="00D50EC1" w:rsidP="007B2381">
      <w:pPr>
        <w:spacing w:after="0"/>
      </w:pPr>
      <w:r>
        <w:rPr>
          <w:rFonts w:ascii="Cambria" w:hAnsi="Cambria"/>
        </w:rPr>
        <w:t> </w:t>
      </w:r>
    </w:p>
    <w:p w14:paraId="14F6AF78" w14:textId="77777777" w:rsidR="00D50EC1" w:rsidRDefault="00D50EC1" w:rsidP="007B2381">
      <w:pPr>
        <w:spacing w:after="0"/>
      </w:pPr>
      <w:r>
        <w:rPr>
          <w:rFonts w:ascii="Cambria" w:hAnsi="Cambria"/>
          <w:b/>
          <w:bCs/>
        </w:rPr>
        <w:t>Personnel Readiness</w:t>
      </w:r>
    </w:p>
    <w:p w14:paraId="14F6AF79" w14:textId="77777777" w:rsidR="00D50EC1" w:rsidRDefault="00D50EC1" w:rsidP="007B2381">
      <w:pPr>
        <w:spacing w:after="0"/>
      </w:pPr>
      <w:r>
        <w:rPr>
          <w:rFonts w:ascii="Cambria" w:hAnsi="Cambria"/>
        </w:rPr>
        <w:t>Provides a near real-time view of the status of deployed personnel. This dashboard also breaks down the deployed personnel by deployment location and team affiliation.</w:t>
      </w:r>
    </w:p>
    <w:p w14:paraId="3D18B4DF" w14:textId="77777777" w:rsidR="0016786E" w:rsidRDefault="0016786E" w:rsidP="007B2381">
      <w:pPr>
        <w:spacing w:after="0"/>
        <w:rPr>
          <w:rFonts w:ascii="Cambria" w:hAnsi="Cambria"/>
        </w:rPr>
      </w:pPr>
    </w:p>
    <w:p w14:paraId="14F6AF7B" w14:textId="77777777" w:rsidR="00D50EC1" w:rsidRDefault="00D50EC1" w:rsidP="007B2381">
      <w:pPr>
        <w:spacing w:after="0"/>
      </w:pPr>
      <w:r>
        <w:rPr>
          <w:rFonts w:ascii="Cambria" w:hAnsi="Cambria"/>
          <w:b/>
          <w:bCs/>
        </w:rPr>
        <w:t>Logistics</w:t>
      </w:r>
    </w:p>
    <w:p w14:paraId="14F6AF7C" w14:textId="77777777" w:rsidR="00D50EC1" w:rsidRDefault="00D50EC1" w:rsidP="007B2381">
      <w:pPr>
        <w:spacing w:after="0"/>
      </w:pPr>
      <w:r>
        <w:rPr>
          <w:rFonts w:ascii="Cambria" w:hAnsi="Cambria"/>
        </w:rPr>
        <w:t>Provides an overview of the EMG Logistics equipment status (caches deployed, caches in rehab, and caches available).</w:t>
      </w:r>
    </w:p>
    <w:p w14:paraId="14F6AF7D" w14:textId="77777777" w:rsidR="00D50EC1" w:rsidRDefault="00D50EC1" w:rsidP="007B2381">
      <w:pPr>
        <w:spacing w:after="0"/>
        <w:rPr>
          <w:rFonts w:ascii="Cambria" w:hAnsi="Cambria"/>
        </w:rPr>
      </w:pPr>
      <w:r>
        <w:rPr>
          <w:rFonts w:ascii="Cambria" w:hAnsi="Cambria"/>
        </w:rPr>
        <w:t> </w:t>
      </w:r>
    </w:p>
    <w:p w14:paraId="5D8000A7" w14:textId="02604745" w:rsidR="00EF0931" w:rsidRDefault="00EF0931" w:rsidP="007B2381">
      <w:pPr>
        <w:spacing w:after="0"/>
      </w:pPr>
    </w:p>
    <w:p w14:paraId="5E306A06" w14:textId="77777777" w:rsidR="00EF0931" w:rsidRDefault="00EF0931" w:rsidP="007B2381">
      <w:pPr>
        <w:spacing w:after="0"/>
      </w:pPr>
    </w:p>
    <w:p w14:paraId="52A382EE" w14:textId="77777777" w:rsidR="00EF0931" w:rsidRDefault="00EF0931" w:rsidP="007B2381">
      <w:pPr>
        <w:spacing w:after="0"/>
      </w:pPr>
    </w:p>
    <w:p w14:paraId="6CCA38E1" w14:textId="77777777" w:rsidR="00EF0931" w:rsidRDefault="00EF0931" w:rsidP="007B2381">
      <w:pPr>
        <w:spacing w:after="0"/>
      </w:pPr>
    </w:p>
    <w:p w14:paraId="60E878C1" w14:textId="77777777" w:rsidR="00EF0931" w:rsidRDefault="00EF0931" w:rsidP="007B2381">
      <w:pPr>
        <w:spacing w:after="0"/>
      </w:pPr>
    </w:p>
    <w:p w14:paraId="1EDD1B7B" w14:textId="77777777" w:rsidR="00EF0931" w:rsidRDefault="00EF0931" w:rsidP="007B2381">
      <w:pPr>
        <w:spacing w:after="0"/>
      </w:pPr>
      <w:bookmarkStart w:id="0" w:name="_GoBack"/>
      <w:bookmarkEnd w:id="0"/>
    </w:p>
    <w:p w14:paraId="14F6AF7E" w14:textId="77777777" w:rsidR="00D50EC1" w:rsidRDefault="00D50EC1" w:rsidP="007B2381">
      <w:pPr>
        <w:spacing w:after="0"/>
      </w:pPr>
      <w:r>
        <w:rPr>
          <w:rFonts w:ascii="Cambria" w:hAnsi="Cambria"/>
          <w:b/>
          <w:bCs/>
        </w:rPr>
        <w:t>Bed Reports – HAvBED &amp; NDMS</w:t>
      </w:r>
      <w:r>
        <w:rPr>
          <w:rFonts w:ascii="Cambria" w:hAnsi="Cambria"/>
        </w:rPr>
        <w:t xml:space="preserve"> </w:t>
      </w:r>
    </w:p>
    <w:p w14:paraId="14F6AF7F" w14:textId="77777777" w:rsidR="00D50EC1" w:rsidRDefault="00D50EC1" w:rsidP="007B2381">
      <w:pPr>
        <w:spacing w:after="0"/>
        <w:rPr>
          <w:rFonts w:ascii="Cambria" w:hAnsi="Cambria"/>
        </w:rPr>
      </w:pPr>
      <w:r>
        <w:rPr>
          <w:rFonts w:ascii="Cambria" w:hAnsi="Cambria"/>
        </w:rPr>
        <w:t xml:space="preserve">One stop shop for bed data reports from the National Hospital Available Beds during Emergencies and Disasters (HAvBED) system and the National Disaster Medical System (NDMS).  </w:t>
      </w:r>
    </w:p>
    <w:p w14:paraId="14F6AF80" w14:textId="77777777" w:rsidR="007B2381" w:rsidRDefault="007B2381" w:rsidP="007B2381">
      <w:pPr>
        <w:spacing w:after="0"/>
      </w:pPr>
    </w:p>
    <w:p w14:paraId="14F6AF81" w14:textId="77777777" w:rsidR="00D50EC1" w:rsidRDefault="00D50EC1" w:rsidP="00EF0931">
      <w:pPr>
        <w:spacing w:after="0" w:line="240" w:lineRule="auto"/>
        <w:ind w:left="720"/>
        <w:rPr>
          <w:rFonts w:eastAsia="Times New Roman"/>
        </w:rPr>
      </w:pPr>
      <w:r>
        <w:rPr>
          <w:rFonts w:ascii="Cambria" w:eastAsia="Times New Roman" w:hAnsi="Cambria"/>
        </w:rPr>
        <w:t xml:space="preserve">The HAvBED report displays bed counts for HAvBED exercises and activations over the past year. The data are split into eight HAvBED bed types by FEMA region, state, and sub-state region.  </w:t>
      </w:r>
    </w:p>
    <w:p w14:paraId="14F6AF82" w14:textId="77777777" w:rsidR="00D50EC1" w:rsidRDefault="00D50EC1" w:rsidP="00EF0931">
      <w:pPr>
        <w:spacing w:after="0" w:line="240" w:lineRule="auto"/>
        <w:ind w:left="720"/>
        <w:rPr>
          <w:rFonts w:eastAsia="Times New Roman"/>
        </w:rPr>
      </w:pPr>
      <w:r>
        <w:rPr>
          <w:rFonts w:ascii="Cambria" w:eastAsia="Times New Roman" w:hAnsi="Cambria"/>
        </w:rPr>
        <w:t xml:space="preserve">The NDMS report displays bed counts in seven different categories by FEMA region, FCC location, and state. Historical bed counts are also displayed by FCC. </w:t>
      </w:r>
    </w:p>
    <w:p w14:paraId="14F6AF83" w14:textId="77777777" w:rsidR="00D50EC1" w:rsidRDefault="00D50EC1" w:rsidP="007B2381">
      <w:pPr>
        <w:spacing w:after="0"/>
      </w:pPr>
      <w:r>
        <w:rPr>
          <w:rFonts w:ascii="Cambria" w:hAnsi="Cambria"/>
        </w:rPr>
        <w:t> </w:t>
      </w:r>
    </w:p>
    <w:p w14:paraId="14F6AF84" w14:textId="77777777" w:rsidR="00D50EC1" w:rsidRDefault="00D50EC1" w:rsidP="007B2381">
      <w:pPr>
        <w:spacing w:after="0"/>
      </w:pPr>
      <w:r>
        <w:rPr>
          <w:rFonts w:ascii="Cambria" w:hAnsi="Cambria"/>
          <w:b/>
          <w:bCs/>
        </w:rPr>
        <w:t xml:space="preserve">At-Risk Behavioral Health and Community Resilience (ABC) Dashboard </w:t>
      </w:r>
    </w:p>
    <w:p w14:paraId="14F6AF85" w14:textId="77777777" w:rsidR="00D50EC1" w:rsidRDefault="00D50EC1" w:rsidP="007B2381">
      <w:pPr>
        <w:spacing w:after="0"/>
      </w:pPr>
      <w:r>
        <w:rPr>
          <w:rFonts w:ascii="Cambria" w:hAnsi="Cambria"/>
        </w:rPr>
        <w:t>Provides a subset of patient encounter data during deployments from the Electronic Medical Record for at-risk populations. Encounter data is displayed by a number of factors including age, pregnancy status, chronic health condition, and mental/behavioral health status.</w:t>
      </w:r>
    </w:p>
    <w:p w14:paraId="14F6AF86" w14:textId="77777777" w:rsidR="00D50EC1" w:rsidRDefault="00D50EC1" w:rsidP="007B2381">
      <w:pPr>
        <w:spacing w:after="0"/>
      </w:pPr>
      <w:r>
        <w:rPr>
          <w:rFonts w:ascii="Cambria" w:hAnsi="Cambria"/>
          <w:b/>
          <w:bCs/>
        </w:rPr>
        <w:t> </w:t>
      </w:r>
    </w:p>
    <w:p w14:paraId="14F6AF87" w14:textId="77777777" w:rsidR="00D50EC1" w:rsidRDefault="00D50EC1" w:rsidP="007B2381">
      <w:pPr>
        <w:spacing w:after="0"/>
      </w:pPr>
      <w:r>
        <w:rPr>
          <w:rFonts w:ascii="Cambria" w:hAnsi="Cambria"/>
          <w:b/>
          <w:bCs/>
        </w:rPr>
        <w:t>EMR Summary Tables</w:t>
      </w:r>
    </w:p>
    <w:p w14:paraId="14F6AF88" w14:textId="77777777" w:rsidR="00D50EC1" w:rsidRDefault="00D50EC1" w:rsidP="007B2381">
      <w:pPr>
        <w:spacing w:after="0"/>
      </w:pPr>
      <w:r>
        <w:rPr>
          <w:rFonts w:ascii="Cambria" w:hAnsi="Cambria"/>
        </w:rPr>
        <w:t xml:space="preserve">Provides tables of patient encounter records in the Electronic Medical Record repository for a deployment of interest already summarized by age, incoming acuity, diagnosis category, and location. Encounter records from deployments as early as 2007 can be explored in these EMR Explorer reports. </w:t>
      </w:r>
    </w:p>
    <w:p w14:paraId="14F6AF89" w14:textId="77777777" w:rsidR="00D50EC1" w:rsidRDefault="00D50EC1" w:rsidP="007B2381">
      <w:pPr>
        <w:spacing w:after="0"/>
      </w:pPr>
      <w:r>
        <w:rPr>
          <w:rFonts w:ascii="Cambria" w:hAnsi="Cambria"/>
        </w:rPr>
        <w:t> </w:t>
      </w:r>
    </w:p>
    <w:p w14:paraId="14F6AF8A" w14:textId="77777777" w:rsidR="00D50EC1" w:rsidRDefault="00D50EC1" w:rsidP="007B2381">
      <w:pPr>
        <w:spacing w:after="0"/>
      </w:pPr>
      <w:r>
        <w:rPr>
          <w:rFonts w:ascii="Cambria" w:hAnsi="Cambria"/>
          <w:b/>
          <w:bCs/>
        </w:rPr>
        <w:t>Event Metrics Archive</w:t>
      </w:r>
    </w:p>
    <w:p w14:paraId="14F6AF8B" w14:textId="77777777" w:rsidR="00D50EC1" w:rsidRDefault="00D50EC1" w:rsidP="007B2381">
      <w:pPr>
        <w:spacing w:after="0"/>
        <w:rPr>
          <w:rFonts w:ascii="Cambria" w:hAnsi="Cambria"/>
        </w:rPr>
      </w:pPr>
      <w:r>
        <w:rPr>
          <w:rFonts w:ascii="Cambria" w:hAnsi="Cambria"/>
        </w:rPr>
        <w:t>Displays an archive of reports that provide an overview of certain ASPR responses based on data available to the Division of Fusion from the following information systems: EMR and RMS. These reports are available through a link in Fusion Analytics to the ASPR Portal.</w:t>
      </w:r>
    </w:p>
    <w:p w14:paraId="14F6AF8C" w14:textId="77777777" w:rsidR="00716F47" w:rsidRDefault="00716F47" w:rsidP="00716F47">
      <w:r>
        <w:rPr>
          <w:rFonts w:ascii="Cambria" w:hAnsi="Cambria"/>
        </w:rPr>
        <w:t xml:space="preserve">To request an account, or if you have any questions, comments or suggestions please feel free to contact </w:t>
      </w:r>
      <w:hyperlink r:id="rId10" w:history="1">
        <w:r>
          <w:rPr>
            <w:rStyle w:val="Hyperlink"/>
            <w:rFonts w:ascii="Cambria" w:hAnsi="Cambria"/>
          </w:rPr>
          <w:t>fusion@hhs.gov</w:t>
        </w:r>
      </w:hyperlink>
      <w:r>
        <w:rPr>
          <w:rFonts w:ascii="Cambria" w:hAnsi="Cambria"/>
        </w:rPr>
        <w:t xml:space="preserve">. </w:t>
      </w:r>
      <w:r>
        <w:t xml:space="preserve"> </w:t>
      </w:r>
      <w:r>
        <w:rPr>
          <w:rFonts w:ascii="Cambria" w:hAnsi="Cambria"/>
        </w:rPr>
        <w:t xml:space="preserve">If you need a refresher on any of the Fusion Analytics tabs we encourage you to check out the </w:t>
      </w:r>
      <w:hyperlink r:id="rId11" w:history="1">
        <w:r>
          <w:rPr>
            <w:rStyle w:val="Hyperlink"/>
            <w:rFonts w:ascii="Cambria" w:hAnsi="Cambria"/>
          </w:rPr>
          <w:t>User Guide</w:t>
        </w:r>
      </w:hyperlink>
      <w:r>
        <w:rPr>
          <w:rFonts w:ascii="Cambria" w:hAnsi="Cambria"/>
        </w:rPr>
        <w:t xml:space="preserve">, </w:t>
      </w:r>
      <w:hyperlink r:id="rId12" w:history="1">
        <w:r>
          <w:rPr>
            <w:rStyle w:val="Hyperlink"/>
            <w:rFonts w:ascii="Cambria" w:hAnsi="Cambria"/>
          </w:rPr>
          <w:t>FAQ</w:t>
        </w:r>
      </w:hyperlink>
      <w:r>
        <w:rPr>
          <w:rFonts w:ascii="Cambria" w:hAnsi="Cambria"/>
        </w:rPr>
        <w:t xml:space="preserve">, and recorded </w:t>
      </w:r>
      <w:hyperlink r:id="rId13" w:history="1">
        <w:r>
          <w:rPr>
            <w:rStyle w:val="Hyperlink"/>
            <w:rFonts w:ascii="Cambria" w:hAnsi="Cambria"/>
          </w:rPr>
          <w:t>Fusion Analytics Overview webinar</w:t>
        </w:r>
      </w:hyperlink>
      <w:r>
        <w:rPr>
          <w:rFonts w:ascii="Cambria" w:hAnsi="Cambria"/>
        </w:rPr>
        <w:t xml:space="preserve">, all available on the </w:t>
      </w:r>
      <w:hyperlink r:id="rId14" w:history="1">
        <w:r w:rsidRPr="00716F47">
          <w:rPr>
            <w:rStyle w:val="Hyperlink"/>
            <w:rFonts w:ascii="Cambria" w:hAnsi="Cambria"/>
          </w:rPr>
          <w:t>Fusion Section of the ASPR Portal</w:t>
        </w:r>
      </w:hyperlink>
      <w:r w:rsidR="00BE7A58">
        <w:rPr>
          <w:rFonts w:ascii="Cambria" w:hAnsi="Cambria"/>
        </w:rPr>
        <w:t>- j</w:t>
      </w:r>
      <w:r>
        <w:rPr>
          <w:rFonts w:ascii="Cambria" w:hAnsi="Cambria"/>
        </w:rPr>
        <w:t>ust click</w:t>
      </w:r>
      <w:r w:rsidR="00BE7A58">
        <w:rPr>
          <w:rFonts w:ascii="Cambria" w:hAnsi="Cambria"/>
        </w:rPr>
        <w:t xml:space="preserve"> on the Fusion Analytics folder.</w:t>
      </w:r>
    </w:p>
    <w:p w14:paraId="14F6AF8D" w14:textId="77777777" w:rsidR="00716F47" w:rsidRDefault="00716F47" w:rsidP="00716F47">
      <w:r>
        <w:rPr>
          <w:rFonts w:ascii="Cambria" w:hAnsi="Cambria"/>
        </w:rPr>
        <w:t> </w:t>
      </w:r>
    </w:p>
    <w:sectPr w:rsidR="0071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7B1"/>
    <w:multiLevelType w:val="multilevel"/>
    <w:tmpl w:val="A1327D5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
    <w:nsid w:val="61EA1E4C"/>
    <w:multiLevelType w:val="hybridMultilevel"/>
    <w:tmpl w:val="009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644E1"/>
    <w:multiLevelType w:val="multilevel"/>
    <w:tmpl w:val="5492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3E51969"/>
    <w:multiLevelType w:val="multilevel"/>
    <w:tmpl w:val="F61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20D04"/>
    <w:multiLevelType w:val="multilevel"/>
    <w:tmpl w:val="1D9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FE"/>
    <w:rsid w:val="0016786E"/>
    <w:rsid w:val="001B39FF"/>
    <w:rsid w:val="00360074"/>
    <w:rsid w:val="005319A6"/>
    <w:rsid w:val="00582F49"/>
    <w:rsid w:val="005B1858"/>
    <w:rsid w:val="006B6276"/>
    <w:rsid w:val="006C5B0B"/>
    <w:rsid w:val="006E59FE"/>
    <w:rsid w:val="00716F47"/>
    <w:rsid w:val="007461C6"/>
    <w:rsid w:val="007B2381"/>
    <w:rsid w:val="008F1A3D"/>
    <w:rsid w:val="00BE7A58"/>
    <w:rsid w:val="00D1430D"/>
    <w:rsid w:val="00D50EC1"/>
    <w:rsid w:val="00D86387"/>
    <w:rsid w:val="00E37B77"/>
    <w:rsid w:val="00EB1242"/>
    <w:rsid w:val="00EF0931"/>
    <w:rsid w:val="00F7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FE"/>
    <w:rPr>
      <w:color w:val="0000FF" w:themeColor="hyperlink"/>
      <w:u w:val="single"/>
    </w:rPr>
  </w:style>
  <w:style w:type="paragraph" w:styleId="ListParagraph">
    <w:name w:val="List Paragraph"/>
    <w:basedOn w:val="Normal"/>
    <w:uiPriority w:val="34"/>
    <w:qFormat/>
    <w:rsid w:val="00D1430D"/>
    <w:pPr>
      <w:ind w:left="720"/>
      <w:contextualSpacing/>
    </w:pPr>
  </w:style>
  <w:style w:type="paragraph" w:styleId="BalloonText">
    <w:name w:val="Balloon Text"/>
    <w:basedOn w:val="Normal"/>
    <w:link w:val="BalloonTextChar"/>
    <w:uiPriority w:val="99"/>
    <w:semiHidden/>
    <w:unhideWhenUsed/>
    <w:rsid w:val="00D5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FE"/>
    <w:rPr>
      <w:color w:val="0000FF" w:themeColor="hyperlink"/>
      <w:u w:val="single"/>
    </w:rPr>
  </w:style>
  <w:style w:type="paragraph" w:styleId="ListParagraph">
    <w:name w:val="List Paragraph"/>
    <w:basedOn w:val="Normal"/>
    <w:uiPriority w:val="34"/>
    <w:qFormat/>
    <w:rsid w:val="00D1430D"/>
    <w:pPr>
      <w:ind w:left="720"/>
      <w:contextualSpacing/>
    </w:pPr>
  </w:style>
  <w:style w:type="paragraph" w:styleId="BalloonText">
    <w:name w:val="Balloon Text"/>
    <w:basedOn w:val="Normal"/>
    <w:link w:val="BalloonTextChar"/>
    <w:uiPriority w:val="99"/>
    <w:semiHidden/>
    <w:unhideWhenUsed/>
    <w:rsid w:val="00D5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7026">
      <w:bodyDiv w:val="1"/>
      <w:marLeft w:val="0"/>
      <w:marRight w:val="0"/>
      <w:marTop w:val="0"/>
      <w:marBottom w:val="0"/>
      <w:divBdr>
        <w:top w:val="none" w:sz="0" w:space="0" w:color="auto"/>
        <w:left w:val="none" w:sz="0" w:space="0" w:color="auto"/>
        <w:bottom w:val="none" w:sz="0" w:space="0" w:color="auto"/>
        <w:right w:val="none" w:sz="0" w:space="0" w:color="auto"/>
      </w:divBdr>
    </w:div>
    <w:div w:id="326831888">
      <w:bodyDiv w:val="1"/>
      <w:marLeft w:val="0"/>
      <w:marRight w:val="0"/>
      <w:marTop w:val="0"/>
      <w:marBottom w:val="0"/>
      <w:divBdr>
        <w:top w:val="none" w:sz="0" w:space="0" w:color="auto"/>
        <w:left w:val="none" w:sz="0" w:space="0" w:color="auto"/>
        <w:bottom w:val="none" w:sz="0" w:space="0" w:color="auto"/>
        <w:right w:val="none" w:sz="0" w:space="0" w:color="auto"/>
      </w:divBdr>
    </w:div>
    <w:div w:id="443039306">
      <w:bodyDiv w:val="1"/>
      <w:marLeft w:val="0"/>
      <w:marRight w:val="0"/>
      <w:marTop w:val="0"/>
      <w:marBottom w:val="0"/>
      <w:divBdr>
        <w:top w:val="none" w:sz="0" w:space="0" w:color="auto"/>
        <w:left w:val="none" w:sz="0" w:space="0" w:color="auto"/>
        <w:bottom w:val="none" w:sz="0" w:space="0" w:color="auto"/>
        <w:right w:val="none" w:sz="0" w:space="0" w:color="auto"/>
      </w:divBdr>
    </w:div>
    <w:div w:id="930116935">
      <w:bodyDiv w:val="1"/>
      <w:marLeft w:val="0"/>
      <w:marRight w:val="0"/>
      <w:marTop w:val="0"/>
      <w:marBottom w:val="0"/>
      <w:divBdr>
        <w:top w:val="none" w:sz="0" w:space="0" w:color="auto"/>
        <w:left w:val="none" w:sz="0" w:space="0" w:color="auto"/>
        <w:bottom w:val="none" w:sz="0" w:space="0" w:color="auto"/>
        <w:right w:val="none" w:sz="0" w:space="0" w:color="auto"/>
      </w:divBdr>
    </w:div>
    <w:div w:id="1193567344">
      <w:bodyDiv w:val="1"/>
      <w:marLeft w:val="0"/>
      <w:marRight w:val="0"/>
      <w:marTop w:val="0"/>
      <w:marBottom w:val="0"/>
      <w:divBdr>
        <w:top w:val="none" w:sz="0" w:space="0" w:color="auto"/>
        <w:left w:val="none" w:sz="0" w:space="0" w:color="auto"/>
        <w:bottom w:val="none" w:sz="0" w:space="0" w:color="auto"/>
        <w:right w:val="none" w:sz="0" w:space="0" w:color="auto"/>
      </w:divBdr>
    </w:div>
    <w:div w:id="1281379422">
      <w:bodyDiv w:val="1"/>
      <w:marLeft w:val="0"/>
      <w:marRight w:val="0"/>
      <w:marTop w:val="0"/>
      <w:marBottom w:val="0"/>
      <w:divBdr>
        <w:top w:val="none" w:sz="0" w:space="0" w:color="auto"/>
        <w:left w:val="none" w:sz="0" w:space="0" w:color="auto"/>
        <w:bottom w:val="none" w:sz="0" w:space="0" w:color="auto"/>
        <w:right w:val="none" w:sz="0" w:space="0" w:color="auto"/>
      </w:divBdr>
    </w:div>
    <w:div w:id="1894538915">
      <w:bodyDiv w:val="1"/>
      <w:marLeft w:val="0"/>
      <w:marRight w:val="0"/>
      <w:marTop w:val="0"/>
      <w:marBottom w:val="0"/>
      <w:divBdr>
        <w:top w:val="none" w:sz="0" w:space="0" w:color="auto"/>
        <w:left w:val="none" w:sz="0" w:space="0" w:color="auto"/>
        <w:bottom w:val="none" w:sz="0" w:space="0" w:color="auto"/>
        <w:right w:val="none" w:sz="0" w:space="0" w:color="auto"/>
      </w:divBdr>
    </w:div>
    <w:div w:id="1946228558">
      <w:bodyDiv w:val="1"/>
      <w:marLeft w:val="0"/>
      <w:marRight w:val="0"/>
      <w:marTop w:val="0"/>
      <w:marBottom w:val="0"/>
      <w:divBdr>
        <w:top w:val="none" w:sz="0" w:space="0" w:color="auto"/>
        <w:left w:val="none" w:sz="0" w:space="0" w:color="auto"/>
        <w:bottom w:val="none" w:sz="0" w:space="0" w:color="auto"/>
        <w:right w:val="none" w:sz="0" w:space="0" w:color="auto"/>
      </w:divBdr>
    </w:div>
    <w:div w:id="2031762310">
      <w:bodyDiv w:val="1"/>
      <w:marLeft w:val="0"/>
      <w:marRight w:val="0"/>
      <w:marTop w:val="0"/>
      <w:marBottom w:val="0"/>
      <w:divBdr>
        <w:top w:val="none" w:sz="0" w:space="0" w:color="auto"/>
        <w:left w:val="none" w:sz="0" w:space="0" w:color="auto"/>
        <w:bottom w:val="none" w:sz="0" w:space="0" w:color="auto"/>
        <w:right w:val="none" w:sz="0" w:space="0" w:color="auto"/>
      </w:divBdr>
    </w:div>
    <w:div w:id="20727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rwgpublic.hhs.gov/ops-bak/fusion/Fusion%20Docs/Fusion%20Analytics/Fusion%20Analytics%20Overview%20Webinar%20Recording.wm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rwgpublic.hhs.gov/ops-bak/fusion/Fusion%20Docs/Fusion%20Analytics/Fusion%20Analytics%20FAQ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sprwgpublic.hhs.gov/ops-bak/fusion/Fusion%20Docs/Fusion%20Analytics/Fusion%20Analytics%20Dashboard%20Quick%20Reference%20Guide%20-%20June%202013.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usion@hhs.gov" TargetMode="External"/><Relationship Id="rId4" Type="http://schemas.openxmlformats.org/officeDocument/2006/relationships/numbering" Target="numbering.xml"/><Relationship Id="rId9" Type="http://schemas.openxmlformats.org/officeDocument/2006/relationships/hyperlink" Target="mailto:fusion@hhs.gov" TargetMode="External"/><Relationship Id="rId14" Type="http://schemas.openxmlformats.org/officeDocument/2006/relationships/hyperlink" Target="https://asprwgpublic.hhs.gov/ops-bak/fus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General Info</Value>
      <Value>Situational Awareness</Value>
      <Value>External Communications/Public Affairs</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0467115D-E9F5-4EB3-AAC6-28CB75B93969}"/>
</file>

<file path=customXml/itemProps2.xml><?xml version="1.0" encoding="utf-8"?>
<ds:datastoreItem xmlns:ds="http://schemas.openxmlformats.org/officeDocument/2006/customXml" ds:itemID="{87A09E9B-5EE3-430F-B19C-F55B66EF359B}"/>
</file>

<file path=customXml/itemProps3.xml><?xml version="1.0" encoding="utf-8"?>
<ds:datastoreItem xmlns:ds="http://schemas.openxmlformats.org/officeDocument/2006/customXml" ds:itemID="{DFE79D74-B8D9-4971-AB04-CA6B9B44FBC8}"/>
</file>

<file path=docProps/app.xml><?xml version="1.0" encoding="utf-8"?>
<Properties xmlns="http://schemas.openxmlformats.org/officeDocument/2006/extended-properties" xmlns:vt="http://schemas.openxmlformats.org/officeDocument/2006/docPropsVTypes">
  <Template>Normal.dotm</Template>
  <TotalTime>47</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12</cp:revision>
  <cp:lastPrinted>2015-03-19T14:56:00Z</cp:lastPrinted>
  <dcterms:created xsi:type="dcterms:W3CDTF">2014-07-01T19:34:00Z</dcterms:created>
  <dcterms:modified xsi:type="dcterms:W3CDTF">2015-03-19T15:30:00Z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1300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